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Ubuntu" w:cs="Ubuntu" w:eastAsia="Ubuntu" w:hAnsi="Ubuntu"/>
          <w:b w:val="1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rtl w:val="0"/>
        </w:rPr>
        <w:t xml:space="preserve">Normes de publication sur le site BaladoWeb</w:t>
        <w:br w:type="textWrapping"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0</wp:posOffset>
            </wp:positionV>
            <wp:extent cx="1319213" cy="91973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9197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Ubuntu" w:cs="Ubuntu" w:eastAsia="Ubuntu" w:hAnsi="Ubuntu"/>
          <w:b w:val="1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rtl w:val="0"/>
        </w:rPr>
        <w:br w:type="textWrapping"/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6000"/>
        <w:tblGridChange w:id="0">
          <w:tblGrid>
            <w:gridCol w:w="3360"/>
            <w:gridCol w:w="6000"/>
          </w:tblGrid>
        </w:tblGridChange>
      </w:tblGrid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4"/>
                <w:szCs w:val="24"/>
                <w:rtl w:val="0"/>
              </w:rPr>
              <w:t xml:space="preserve">Catégorie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4"/>
                <w:szCs w:val="24"/>
                <w:rtl w:val="0"/>
              </w:rPr>
              <w:t xml:space="preserve">Critères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4"/>
                <w:szCs w:val="24"/>
                <w:rtl w:val="0"/>
              </w:rPr>
              <w:t xml:space="preserve">Qualité du contenu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hd w:fill="ffffff" w:val="clear"/>
              <w:spacing w:after="240" w:line="240" w:lineRule="auto"/>
              <w:ind w:left="141.7322834645671" w:firstLine="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1d2125"/>
                <w:sz w:val="23"/>
                <w:szCs w:val="23"/>
                <w:rtl w:val="0"/>
              </w:rPr>
              <w:t xml:space="preserve">Le contenu de l’audioguide nous permet rapidement de cerner le sujet.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hd w:fill="ffffff" w:val="clear"/>
              <w:spacing w:after="240" w:line="240" w:lineRule="auto"/>
              <w:ind w:left="141.7322834645671" w:firstLine="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1d2125"/>
                <w:sz w:val="23"/>
                <w:szCs w:val="23"/>
                <w:rtl w:val="0"/>
              </w:rPr>
              <w:t xml:space="preserve">Le contenu tient compte du destinataire.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hd w:fill="ffffff" w:val="clear"/>
              <w:spacing w:after="240" w:line="240" w:lineRule="auto"/>
              <w:ind w:left="141.7322834645671" w:firstLine="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1d2125"/>
                <w:sz w:val="23"/>
                <w:szCs w:val="23"/>
                <w:rtl w:val="0"/>
              </w:rPr>
              <w:t xml:space="preserve">Le contenu de l’audioguide est accessible et respecte la qualité de la langue (éléments prosodiques).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240" w:line="240" w:lineRule="auto"/>
              <w:ind w:left="141.7322834645671" w:firstLine="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1d2125"/>
                <w:sz w:val="23"/>
                <w:szCs w:val="23"/>
                <w:rtl w:val="0"/>
              </w:rPr>
              <w:t xml:space="preserve">La qualité du montage audio est adéquate: voix et musique bien balancées, sans parasite, volume constant,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24"/>
                <w:szCs w:val="24"/>
                <w:rtl w:val="0"/>
              </w:rPr>
              <w:t xml:space="preserve">Règles et responsabilités</w:t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after="240" w:line="240" w:lineRule="auto"/>
              <w:ind w:left="141.7322834645671" w:firstLine="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1d2125"/>
                <w:sz w:val="23"/>
                <w:szCs w:val="23"/>
                <w:rtl w:val="0"/>
              </w:rPr>
              <w:t xml:space="preserve">Les images, les extraits sonores et les citations respectent les droits d’auteur. Si requises, les autorisations doivent être mentionnées dans la description du balado.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.350234375" w:hRule="atLeast"/>
          <w:tblHeader w:val="0"/>
        </w:trPr>
        <w:tc>
          <w:tcPr>
            <w:vMerge w:val="continue"/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240" w:line="240" w:lineRule="auto"/>
              <w:ind w:left="141.7322834645671" w:firstLine="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1d2125"/>
                <w:sz w:val="23"/>
                <w:szCs w:val="23"/>
                <w:rtl w:val="0"/>
              </w:rPr>
              <w:t xml:space="preserve">Le contenu respecte les droits et l’intégrité de la personne (pas de propos racistes, sexistes, injurieux, etc.).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5399999999998" w:hRule="atLeast"/>
          <w:tblHeader w:val="0"/>
        </w:trPr>
        <w:tc>
          <w:tcPr>
            <w:vMerge w:val="continue"/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240" w:line="240" w:lineRule="auto"/>
              <w:ind w:left="141.7322834645671" w:firstLine="0"/>
              <w:rPr>
                <w:rFonts w:ascii="Ubuntu" w:cs="Ubuntu" w:eastAsia="Ubuntu" w:hAnsi="Ubuntu"/>
                <w:color w:val="1d2125"/>
                <w:sz w:val="23"/>
                <w:szCs w:val="23"/>
              </w:rPr>
            </w:pPr>
            <w:r w:rsidDel="00000000" w:rsidR="00000000" w:rsidRPr="00000000">
              <w:rPr>
                <w:rFonts w:ascii="Ubuntu" w:cs="Ubuntu" w:eastAsia="Ubuntu" w:hAnsi="Ubuntu"/>
                <w:color w:val="1d2125"/>
                <w:sz w:val="23"/>
                <w:szCs w:val="23"/>
                <w:rtl w:val="0"/>
              </w:rPr>
              <w:t xml:space="preserve">Le contenu ne divulgue pas de renseignements personnels (nom, numéro de téléphone, adresse, etc.)</w:t>
              <w:tab/>
            </w:r>
          </w:p>
        </w:tc>
      </w:tr>
    </w:tbl>
    <w:p w:rsidR="00000000" w:rsidDel="00000000" w:rsidP="00000000" w:rsidRDefault="00000000" w:rsidRPr="00000000" w14:paraId="00000013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  <w:t xml:space="preserve">Service national du RÉCIT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