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Ubuntu" w:cs="Ubuntu" w:eastAsia="Ubuntu" w:hAnsi="Ubuntu"/>
          <w:b w:val="1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rtl w:val="0"/>
        </w:rPr>
        <w:t xml:space="preserve">Grille de rétroaction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4591050</wp:posOffset>
            </wp:positionH>
            <wp:positionV relativeFrom="paragraph">
              <wp:posOffset>114300</wp:posOffset>
            </wp:positionV>
            <wp:extent cx="1352550" cy="5334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Autoévaluation ou évaluation par les 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Ubuntu" w:cs="Ubuntu" w:eastAsia="Ubuntu" w:hAnsi="Ubuntu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i w:val="1"/>
          <w:sz w:val="26"/>
          <w:szCs w:val="26"/>
          <w:rtl w:val="0"/>
        </w:rPr>
        <w:t xml:space="preserve">Cibler </w:t>
      </w:r>
      <w:r w:rsidDel="00000000" w:rsidR="00000000" w:rsidRPr="00000000">
        <w:rPr>
          <w:rFonts w:ascii="Ubuntu" w:cs="Ubuntu" w:eastAsia="Ubuntu" w:hAnsi="Ubuntu"/>
          <w:i w:val="1"/>
          <w:sz w:val="26"/>
          <w:szCs w:val="26"/>
          <w:u w:val="single"/>
          <w:rtl w:val="0"/>
        </w:rPr>
        <w:t xml:space="preserve">un ou deux</w:t>
      </w:r>
      <w:r w:rsidDel="00000000" w:rsidR="00000000" w:rsidRPr="00000000">
        <w:rPr>
          <w:rFonts w:ascii="Ubuntu" w:cs="Ubuntu" w:eastAsia="Ubuntu" w:hAnsi="Ubuntu"/>
          <w:i w:val="1"/>
          <w:sz w:val="26"/>
          <w:szCs w:val="26"/>
          <w:rtl w:val="0"/>
        </w:rPr>
        <w:t xml:space="preserve"> éléments prosodiques à retravailler</w:t>
      </w: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Quoi 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Élément prosodique ciblé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Quand  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Moment où une variation serait souhaitable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Pourquoi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Effet de sens souhaité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Comment 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Moyen pour obtenir l’effet de sens souhaité</w:t>
            </w:r>
          </w:p>
        </w:tc>
      </w:tr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Intonation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Débit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Rythme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.849609375" w:hRule="atLeast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6"/>
                <w:szCs w:val="26"/>
                <w:rtl w:val="0"/>
              </w:rPr>
              <w:t xml:space="preserve">Autre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rFonts w:ascii="Ubuntu" w:cs="Ubuntu" w:eastAsia="Ubuntu" w:hAnsi="Ubuntu"/>
        <w:sz w:val="26"/>
        <w:szCs w:val="26"/>
      </w:rPr>
    </w:pPr>
    <w:r w:rsidDel="00000000" w:rsidR="00000000" w:rsidRPr="00000000">
      <w:rPr>
        <w:rFonts w:ascii="Ubuntu" w:cs="Ubuntu" w:eastAsia="Ubuntu" w:hAnsi="Ubuntu"/>
        <w:sz w:val="26"/>
        <w:szCs w:val="26"/>
        <w:rtl w:val="0"/>
      </w:rPr>
      <w:t xml:space="preserve">BaladoWeb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